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both"/>
        <w:outlineLvl w:val="0"/>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一、检测单位资质要求：</w:t>
      </w:r>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1、具有有效的营业执照；</w:t>
      </w:r>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2、具有放射卫生技术服务机构资质证书且技术服务范围需包含清单所列的设备性能检测项目；</w:t>
      </w:r>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3、本项目的检测标准需满足国家标准中关于各类射线装置的专用检测项目的规范要求;</w:t>
      </w:r>
    </w:p>
    <w:p>
      <w:pPr>
        <w:numPr>
          <w:ilvl w:val="0"/>
          <w:numId w:val="0"/>
        </w:numPr>
        <w:spacing w:line="360" w:lineRule="auto"/>
        <w:jc w:val="both"/>
        <w:outlineLvl w:val="0"/>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二、</w:t>
      </w:r>
      <w:r>
        <w:rPr>
          <w:rFonts w:hint="default" w:ascii="Times New Roman" w:hAnsi="Times New Roman" w:eastAsia="宋体" w:cs="Times New Roman"/>
          <w:b/>
          <w:bCs/>
          <w:sz w:val="32"/>
          <w:szCs w:val="32"/>
          <w:lang w:val="en-US" w:eastAsia="zh-CN"/>
        </w:rPr>
        <w:t>检测</w:t>
      </w:r>
      <w:r>
        <w:rPr>
          <w:rFonts w:hint="eastAsia" w:ascii="Times New Roman" w:hAnsi="Times New Roman" w:cs="Times New Roman"/>
          <w:b/>
          <w:bCs/>
          <w:sz w:val="32"/>
          <w:szCs w:val="32"/>
          <w:lang w:val="en-US" w:eastAsia="zh-CN"/>
        </w:rPr>
        <w:t>项目情况：</w:t>
      </w:r>
    </w:p>
    <w:p>
      <w:pPr>
        <w:rPr>
          <w:rFonts w:hint="eastAsia" w:ascii="Times New Roman" w:hAnsi="Times New Roman" w:cs="Times New Roman"/>
          <w:sz w:val="30"/>
          <w:szCs w:val="30"/>
          <w:lang w:val="en-US" w:eastAsia="zh-CN"/>
        </w:rPr>
      </w:pPr>
      <w:r>
        <w:rPr>
          <w:rFonts w:hint="eastAsia" w:ascii="Times New Roman" w:hAnsi="Times New Roman" w:eastAsia="宋体" w:cs="Times New Roman"/>
          <w:sz w:val="30"/>
          <w:szCs w:val="30"/>
          <w:lang w:val="en-US" w:eastAsia="zh-CN"/>
        </w:rPr>
        <w:t>1、</w:t>
      </w:r>
      <w:r>
        <w:rPr>
          <w:rFonts w:hint="default" w:ascii="Times New Roman" w:hAnsi="Times New Roman" w:eastAsia="宋体" w:cs="Times New Roman"/>
          <w:sz w:val="30"/>
          <w:szCs w:val="30"/>
          <w:lang w:val="en-US" w:eastAsia="zh-CN"/>
        </w:rPr>
        <w:t>口腔放射诊疗设备9台</w:t>
      </w:r>
      <w:r>
        <w:rPr>
          <w:rFonts w:hint="eastAsia" w:ascii="Times New Roman" w:hAnsi="Times New Roman" w:cs="Times New Roman"/>
          <w:sz w:val="30"/>
          <w:szCs w:val="30"/>
          <w:lang w:val="en-US" w:eastAsia="zh-CN"/>
        </w:rPr>
        <w:t>（</w:t>
      </w:r>
      <w:r>
        <w:rPr>
          <w:rFonts w:hint="default" w:ascii="Times New Roman" w:hAnsi="Times New Roman" w:eastAsia="宋体" w:cs="Times New Roman"/>
          <w:sz w:val="30"/>
          <w:szCs w:val="30"/>
          <w:lang w:val="en-US" w:eastAsia="zh-CN"/>
        </w:rPr>
        <w:t>CBCT2台、三合一CBCT2台、牙片机4台、DR1台）</w:t>
      </w:r>
      <w:r>
        <w:rPr>
          <w:rFonts w:hint="eastAsia" w:ascii="Times New Roman" w:hAnsi="Times New Roman" w:cs="Times New Roman"/>
          <w:sz w:val="30"/>
          <w:szCs w:val="30"/>
          <w:lang w:val="en-US" w:eastAsia="zh-CN"/>
        </w:rPr>
        <w:t>，进行状态检测、稳定性检测、辐射检测</w:t>
      </w:r>
    </w:p>
    <w:p>
      <w:pPr>
        <w:rPr>
          <w:rFonts w:hint="eastAsia" w:ascii="Times New Roman" w:hAnsi="Times New Roman" w:cs="Times New Roman"/>
          <w:sz w:val="30"/>
          <w:szCs w:val="30"/>
          <w:lang w:val="en-US" w:eastAsia="zh-CN"/>
        </w:rPr>
      </w:pPr>
      <w:r>
        <w:rPr>
          <w:rFonts w:hint="eastAsia" w:ascii="Times New Roman" w:hAnsi="Times New Roman" w:eastAsia="宋体" w:cs="Times New Roman"/>
          <w:sz w:val="30"/>
          <w:szCs w:val="30"/>
          <w:lang w:val="en-US" w:eastAsia="zh-CN"/>
        </w:rPr>
        <w:t>2、</w:t>
      </w:r>
      <w:r>
        <w:rPr>
          <w:rFonts w:hint="default" w:ascii="Times New Roman" w:hAnsi="Times New Roman" w:eastAsia="宋体" w:cs="Times New Roman"/>
          <w:sz w:val="30"/>
          <w:szCs w:val="30"/>
          <w:lang w:val="en-US" w:eastAsia="zh-CN"/>
        </w:rPr>
        <w:t>口腔放射诊疗设备</w:t>
      </w:r>
      <w:r>
        <w:rPr>
          <w:rFonts w:hint="eastAsia" w:ascii="Times New Roman" w:hAnsi="Times New Roman" w:eastAsia="宋体" w:cs="Times New Roman"/>
          <w:sz w:val="30"/>
          <w:szCs w:val="30"/>
          <w:lang w:val="en-US" w:eastAsia="zh-CN"/>
        </w:rPr>
        <w:t>3</w:t>
      </w:r>
      <w:r>
        <w:rPr>
          <w:rFonts w:hint="default" w:ascii="Times New Roman" w:hAnsi="Times New Roman" w:eastAsia="宋体" w:cs="Times New Roman"/>
          <w:sz w:val="30"/>
          <w:szCs w:val="30"/>
          <w:lang w:val="en-US" w:eastAsia="zh-CN"/>
        </w:rPr>
        <w:t>台</w:t>
      </w:r>
      <w:r>
        <w:rPr>
          <w:rFonts w:hint="eastAsia" w:ascii="Times New Roman" w:hAnsi="Times New Roman" w:cs="Times New Roman"/>
          <w:sz w:val="30"/>
          <w:szCs w:val="30"/>
          <w:lang w:val="en-US" w:eastAsia="zh-CN"/>
        </w:rPr>
        <w:t>（</w:t>
      </w:r>
      <w:r>
        <w:rPr>
          <w:rFonts w:hint="eastAsia" w:ascii="Times New Roman" w:hAnsi="Times New Roman" w:eastAsia="宋体" w:cs="Times New Roman"/>
          <w:sz w:val="30"/>
          <w:szCs w:val="30"/>
          <w:lang w:val="en-US" w:eastAsia="zh-CN"/>
        </w:rPr>
        <w:t>全景机2台，口腔CBCT1台</w:t>
      </w:r>
      <w:r>
        <w:rPr>
          <w:rFonts w:hint="default" w:ascii="Times New Roman" w:hAnsi="Times New Roman" w:eastAsia="宋体" w:cs="Times New Roman"/>
          <w:sz w:val="30"/>
          <w:szCs w:val="30"/>
          <w:lang w:val="en-US" w:eastAsia="zh-CN"/>
        </w:rPr>
        <w:t>）</w:t>
      </w:r>
      <w:r>
        <w:rPr>
          <w:rFonts w:hint="eastAsia" w:ascii="Times New Roman" w:hAnsi="Times New Roman" w:cs="Times New Roman"/>
          <w:sz w:val="30"/>
          <w:szCs w:val="30"/>
          <w:lang w:val="en-US" w:eastAsia="zh-CN"/>
        </w:rPr>
        <w:t>，进行稳定性检测</w:t>
      </w:r>
    </w:p>
    <w:p>
      <w:pPr>
        <w:rPr>
          <w:rFonts w:hint="default" w:ascii="Times New Roman" w:hAnsi="Times New Roman" w:eastAsia="宋体" w:cs="Times New Roman"/>
          <w:sz w:val="30"/>
          <w:szCs w:val="30"/>
          <w:lang w:val="en-US" w:eastAsia="zh-CN"/>
        </w:rPr>
      </w:pPr>
      <w:r>
        <w:rPr>
          <w:rFonts w:hint="eastAsia" w:ascii="Times New Roman" w:hAnsi="Times New Roman" w:eastAsia="宋体" w:cs="Times New Roman"/>
          <w:sz w:val="30"/>
          <w:szCs w:val="30"/>
          <w:lang w:val="en-US" w:eastAsia="zh-CN"/>
        </w:rPr>
        <w:t>3、七人进行</w:t>
      </w:r>
      <w:r>
        <w:rPr>
          <w:rFonts w:hint="default" w:ascii="Times New Roman" w:hAnsi="Times New Roman" w:eastAsia="宋体" w:cs="Times New Roman"/>
          <w:sz w:val="30"/>
          <w:szCs w:val="30"/>
          <w:lang w:val="en-US" w:eastAsia="zh-CN"/>
        </w:rPr>
        <w:t>放射人员个人剂量</w:t>
      </w:r>
    </w:p>
    <w:p>
      <w:pPr>
        <w:numPr>
          <w:ilvl w:val="0"/>
          <w:numId w:val="1"/>
        </w:numPr>
        <w:spacing w:line="360" w:lineRule="auto"/>
        <w:jc w:val="center"/>
        <w:outlineLvl w:val="0"/>
        <w:rPr>
          <w:rFonts w:hint="default" w:ascii="Times New Roman" w:hAnsi="Times New Roman" w:eastAsia="宋体" w:cs="Times New Roman"/>
          <w:b/>
          <w:bCs/>
          <w:sz w:val="32"/>
          <w:szCs w:val="32"/>
          <w:lang w:val="en-US" w:eastAsia="zh-CN"/>
        </w:rPr>
      </w:pPr>
      <w:bookmarkStart w:id="0" w:name="_Toc26779"/>
      <w:r>
        <w:rPr>
          <w:rFonts w:hint="default" w:ascii="Times New Roman" w:hAnsi="Times New Roman" w:eastAsia="宋体" w:cs="Times New Roman"/>
          <w:b/>
          <w:bCs/>
          <w:sz w:val="32"/>
          <w:szCs w:val="32"/>
          <w:lang w:val="en-US" w:eastAsia="zh-CN"/>
        </w:rPr>
        <w:t>检测技术服务参数</w:t>
      </w:r>
      <w:bookmarkEnd w:id="0"/>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1、工作场所防护检测、辐射防护检测：依据GB 18871-2002</w:t>
      </w:r>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、GBZ130-2020、HJ61-2021相应指标进行检测</w:t>
      </w:r>
    </w:p>
    <w:p>
      <w:pPr>
        <w:rPr>
          <w:rFonts w:hint="default" w:ascii="Times New Roman" w:hAnsi="Times New Roman" w:eastAsia="宋体" w:cs="Times New Roman"/>
          <w:sz w:val="30"/>
          <w:szCs w:val="30"/>
          <w:lang w:val="en-US" w:eastAsia="zh-CN"/>
        </w:rPr>
      </w:pPr>
      <w:r>
        <w:rPr>
          <w:rFonts w:hint="default" w:ascii="Times New Roman" w:hAnsi="Times New Roman" w:eastAsia="宋体" w:cs="Times New Roman"/>
          <w:sz w:val="30"/>
          <w:szCs w:val="30"/>
          <w:lang w:val="en-US" w:eastAsia="zh-CN"/>
        </w:rPr>
        <w:t>2、质量控制检测指标：见下表</w:t>
      </w:r>
    </w:p>
    <w:p>
      <w:pPr>
        <w:pStyle w:val="2"/>
        <w:jc w:val="center"/>
        <w:outlineLvl w:val="1"/>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pPr>
      <w:bookmarkStart w:id="1" w:name="_Toc19304"/>
      <w: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t>表1：</w:t>
      </w:r>
      <w:bookmarkEnd w:id="1"/>
      <w: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t>X 射线摄影设备通用检测项目与技术要求</w:t>
      </w:r>
      <w:r>
        <w:rPr>
          <w:rFonts w:hint="eastAsia" w:ascii="Times New Roman" w:hAnsi="Times New Roman" w:cs="Times New Roman"/>
          <w:b/>
          <w:bCs/>
          <w:color w:val="000000" w:themeColor="text1"/>
          <w:kern w:val="2"/>
          <w:sz w:val="28"/>
          <w:szCs w:val="28"/>
          <w:lang w:val="en-US" w:eastAsia="zh-CN" w:bidi="ar-SA"/>
          <w14:textFill>
            <w14:solidFill>
              <w14:schemeClr w14:val="tx1"/>
            </w14:solidFill>
          </w14:textFill>
        </w:rPr>
        <w:t>(DR）</w:t>
      </w:r>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11"/>
        <w:gridCol w:w="1560"/>
        <w:gridCol w:w="1417"/>
        <w:gridCol w:w="1844"/>
        <w:gridCol w:w="1703"/>
        <w:gridCol w:w="1702"/>
        <w:gridCol w:w="865"/>
        <w:gridCol w:w="7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jc w:val="center"/>
        </w:trPr>
        <w:tc>
          <w:tcPr>
            <w:tcW w:w="411" w:type="dxa"/>
            <w:vMerge w:val="restart"/>
            <w:tcBorders>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序号</w:t>
            </w:r>
          </w:p>
        </w:tc>
        <w:tc>
          <w:tcPr>
            <w:tcW w:w="1560"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检测项目</w:t>
            </w:r>
          </w:p>
        </w:tc>
        <w:tc>
          <w:tcPr>
            <w:tcW w:w="1417"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检测要求</w:t>
            </w:r>
          </w:p>
        </w:tc>
        <w:tc>
          <w:tcPr>
            <w:tcW w:w="1844"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验收检测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1703"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状态检测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2567" w:type="dxa"/>
            <w:gridSpan w:val="2"/>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稳定性检测</w:t>
            </w:r>
          </w:p>
        </w:tc>
        <w:tc>
          <w:tcPr>
            <w:tcW w:w="764" w:type="dxa"/>
            <w:vMerge w:val="restart"/>
            <w:tcBorders>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条编号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jc w:val="center"/>
        </w:trPr>
        <w:tc>
          <w:tcPr>
            <w:tcW w:w="411" w:type="dxa"/>
            <w:vMerge w:val="continue"/>
            <w:tcBorders>
              <w:top w:val="nil"/>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560"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417"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844"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703"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702"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865"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周期</w:t>
            </w:r>
          </w:p>
        </w:tc>
        <w:tc>
          <w:tcPr>
            <w:tcW w:w="764" w:type="dxa"/>
            <w:vMerge w:val="continue"/>
            <w:tcBorders>
              <w:top w:val="nil"/>
              <w:left w:val="single" w:color="000000" w:sz="6" w:space="0"/>
            </w:tcBorders>
            <w:vAlign w:val="center"/>
          </w:tcPr>
          <w:p>
            <w:pPr>
              <w:jc w:val="cente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411" w:type="dxa"/>
            <w:tcBorders>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w:t>
            </w:r>
          </w:p>
        </w:tc>
        <w:tc>
          <w:tcPr>
            <w:tcW w:w="1560"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管电压指示的偏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离</w:t>
            </w:r>
          </w:p>
        </w:tc>
        <w:tc>
          <w:tcPr>
            <w:tcW w:w="1417"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数字式高压测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量仪</w:t>
            </w:r>
          </w:p>
        </w:tc>
        <w:tc>
          <w:tcPr>
            <w:tcW w:w="1844"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±5.0%或±5.0 kV</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内，以较大者控制</w:t>
            </w:r>
          </w:p>
        </w:tc>
        <w:tc>
          <w:tcPr>
            <w:tcW w:w="1703"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±5.0%或±5.0 kV</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内，以较大者控制</w:t>
            </w:r>
          </w:p>
        </w:tc>
        <w:tc>
          <w:tcPr>
            <w:tcW w:w="1702"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65"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64" w:type="dxa"/>
            <w:tcBorders>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辐射输出量重复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性</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测量5次</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1"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输出量线性</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相邻两档间</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1"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4</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有用线束半值层</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80 kV</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≥2.3 mmAl</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≥2.3 mmAl</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jc w:val="center"/>
        </w:trPr>
        <w:tc>
          <w:tcPr>
            <w:tcW w:w="411" w:type="dxa"/>
            <w:vMerge w:val="restart"/>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w:t>
            </w:r>
          </w:p>
        </w:tc>
        <w:tc>
          <w:tcPr>
            <w:tcW w:w="156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曝光时间指示的偏离</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t≥100 ms</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±10%内</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vMerge w:val="restart"/>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11" w:type="dxa"/>
            <w:vMerge w:val="continue"/>
            <w:tcBorders>
              <w:top w:val="nil"/>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c>
          <w:tcPr>
            <w:tcW w:w="1560" w:type="dxa"/>
            <w:vMerge w:val="continue"/>
            <w:tcBorders>
              <w:top w:val="nil"/>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t＜100 ms</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 ms内或±15.0%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内，以较大者控制</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 ms内或±15.0%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内，以较大者控制</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vMerge w:val="continue"/>
            <w:tcBorders>
              <w:top w:val="nil"/>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6</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AEC重复性</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mAs或DDI</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3"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AEC响应</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剂量法</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±20.0%内a</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±20.0%内a</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±25.0%内a</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8</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AEC 电离室之间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一致性</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mAs或DDI</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±15.0%内</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11"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w:t>
            </w:r>
          </w:p>
        </w:tc>
        <w:tc>
          <w:tcPr>
            <w:tcW w:w="15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有用线束垂直度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偏离</w:t>
            </w:r>
          </w:p>
        </w:tc>
        <w:tc>
          <w:tcPr>
            <w:tcW w:w="14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检测筒和检测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板</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≤3.0°</w:t>
            </w:r>
          </w:p>
        </w:tc>
        <w:tc>
          <w:tcPr>
            <w:tcW w:w="1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≤3.0°</w:t>
            </w:r>
          </w:p>
        </w:tc>
        <w:tc>
          <w:tcPr>
            <w:tcW w:w="170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≤3.0°</w:t>
            </w:r>
          </w:p>
        </w:tc>
        <w:tc>
          <w:tcPr>
            <w:tcW w:w="8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11" w:type="dxa"/>
            <w:tcBorders>
              <w:top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w:t>
            </w:r>
          </w:p>
        </w:tc>
        <w:tc>
          <w:tcPr>
            <w:tcW w:w="1560"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光野与照射野四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边的偏离</w:t>
            </w:r>
          </w:p>
        </w:tc>
        <w:tc>
          <w:tcPr>
            <w:tcW w:w="1417"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 m SID，任一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边</w:t>
            </w:r>
          </w:p>
        </w:tc>
        <w:tc>
          <w:tcPr>
            <w:tcW w:w="1844"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 cm内</w:t>
            </w:r>
          </w:p>
        </w:tc>
        <w:tc>
          <w:tcPr>
            <w:tcW w:w="1703"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 cm内</w:t>
            </w:r>
          </w:p>
        </w:tc>
        <w:tc>
          <w:tcPr>
            <w:tcW w:w="1702"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 cm内</w:t>
            </w:r>
          </w:p>
        </w:tc>
        <w:tc>
          <w:tcPr>
            <w:tcW w:w="865"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764" w:type="dxa"/>
            <w:tcBorders>
              <w:top w:val="single" w:color="000000" w:sz="6" w:space="0"/>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5" w:hRule="atLeast"/>
          <w:jc w:val="center"/>
        </w:trPr>
        <w:tc>
          <w:tcPr>
            <w:tcW w:w="10266"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a 与平均值比较。</w:t>
            </w:r>
          </w:p>
        </w:tc>
      </w:tr>
    </w:tbl>
    <w:p>
      <w:pPr>
        <w:pStyle w:val="2"/>
        <w:jc w:val="center"/>
        <w:outlineLvl w:val="1"/>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t>表2：DR 设备的专用检测项目与技术要求</w:t>
      </w:r>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04"/>
        <w:gridCol w:w="1409"/>
        <w:gridCol w:w="1515"/>
        <w:gridCol w:w="2225"/>
        <w:gridCol w:w="1673"/>
        <w:gridCol w:w="1596"/>
        <w:gridCol w:w="780"/>
        <w:gridCol w:w="8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404" w:type="dxa"/>
            <w:vMerge w:val="restart"/>
            <w:tcBorders>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号</w:t>
            </w:r>
          </w:p>
        </w:tc>
        <w:tc>
          <w:tcPr>
            <w:tcW w:w="1409"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检测项目</w:t>
            </w:r>
          </w:p>
        </w:tc>
        <w:tc>
          <w:tcPr>
            <w:tcW w:w="1515"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检测要求</w:t>
            </w:r>
          </w:p>
        </w:tc>
        <w:tc>
          <w:tcPr>
            <w:tcW w:w="2225"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验收检测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1673"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状态检测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2376" w:type="dxa"/>
            <w:gridSpan w:val="2"/>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稳定性检测</w:t>
            </w:r>
          </w:p>
        </w:tc>
        <w:tc>
          <w:tcPr>
            <w:tcW w:w="818" w:type="dxa"/>
            <w:vMerge w:val="restart"/>
            <w:tcBorders>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条编号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3" w:hRule="atLeast"/>
          <w:jc w:val="center"/>
        </w:trPr>
        <w:tc>
          <w:tcPr>
            <w:tcW w:w="404" w:type="dxa"/>
            <w:vMerge w:val="continue"/>
            <w:tcBorders>
              <w:top w:val="nil"/>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409"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515"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2225"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673"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596"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780"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周期</w:t>
            </w:r>
          </w:p>
        </w:tc>
        <w:tc>
          <w:tcPr>
            <w:tcW w:w="818" w:type="dxa"/>
            <w:vMerge w:val="continue"/>
            <w:tcBorders>
              <w:top w:val="nil"/>
              <w:left w:val="single" w:color="000000" w:sz="6" w:space="0"/>
            </w:tcBorders>
            <w:vAlign w:val="center"/>
          </w:tcPr>
          <w:p>
            <w:pPr>
              <w:jc w:val="cente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11" w:hRule="atLeast"/>
          <w:jc w:val="center"/>
        </w:trPr>
        <w:tc>
          <w:tcPr>
            <w:tcW w:w="404" w:type="dxa"/>
            <w:tcBorders>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w:t>
            </w:r>
          </w:p>
        </w:tc>
        <w:tc>
          <w:tcPr>
            <w:tcW w:w="1409"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探测器剂量指示（DDI）</w:t>
            </w:r>
          </w:p>
        </w:tc>
        <w:tc>
          <w:tcPr>
            <w:tcW w:w="1515"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70 kV，1 mmCu，</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约 10 μGy</w:t>
            </w:r>
          </w:p>
        </w:tc>
        <w:tc>
          <w:tcPr>
            <w:tcW w:w="2225"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DDI 测量值与计算值± 20.0%，DDI 或平均像素值建立基线值</w:t>
            </w:r>
          </w:p>
        </w:tc>
        <w:tc>
          <w:tcPr>
            <w:tcW w:w="1673"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DDI 测量值与计算值±20.0%，或基线值±20.0%</w:t>
            </w:r>
          </w:p>
        </w:tc>
        <w:tc>
          <w:tcPr>
            <w:tcW w:w="1596"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80"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18" w:type="dxa"/>
            <w:tcBorders>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信号传递特性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（STP）</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70 kV，1 mmCu，</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 档剂量</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R2≥0.98</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R2≥0.95</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R2≥0.95</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响应均匀性</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70 kV，1 mmCu，</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约 10 μGy</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CV≤5.0%</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CV≤5.0%</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CV≤5.0%</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4</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测距误差</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 mm 长度</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±2.0%内</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±2.0%内</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残影</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铅块</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不存在残影或有残影而像素值误差≤5.0%</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不存在残影或有残影而像素值误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差≤5.0%</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6</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伪影</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屏片密着板</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无影响临床诊断的伪影</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无影响临床诊断的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伪影</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无影响临床诊断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的伪影</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404"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7</w:t>
            </w:r>
          </w:p>
        </w:tc>
        <w:tc>
          <w:tcPr>
            <w:tcW w:w="14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高对比度分辨力</w:t>
            </w:r>
          </w:p>
        </w:tc>
        <w:tc>
          <w:tcPr>
            <w:tcW w:w="151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高对比测试卡，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45°放置</w:t>
            </w:r>
          </w:p>
        </w:tc>
        <w:tc>
          <w:tcPr>
            <w:tcW w:w="222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≥90.0%厂家规定值，或≥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80.0%（fNyquist×1.4），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建立基线值</w:t>
            </w:r>
          </w:p>
        </w:tc>
        <w:tc>
          <w:tcPr>
            <w:tcW w:w="167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≥90.0%a</w:t>
            </w: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1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404" w:type="dxa"/>
            <w:tcBorders>
              <w:top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8</w:t>
            </w:r>
          </w:p>
        </w:tc>
        <w:tc>
          <w:tcPr>
            <w:tcW w:w="1409"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低对比度分辨力</w:t>
            </w:r>
          </w:p>
        </w:tc>
        <w:tc>
          <w:tcPr>
            <w:tcW w:w="1515"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低对比度分辨力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检测模体， 约 5 μGy</w:t>
            </w:r>
          </w:p>
        </w:tc>
        <w:tc>
          <w:tcPr>
            <w:tcW w:w="2225"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建立基线值</w:t>
            </w:r>
          </w:p>
        </w:tc>
        <w:tc>
          <w:tcPr>
            <w:tcW w:w="1673"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不超过 2 个细节变化 a</w:t>
            </w:r>
          </w:p>
        </w:tc>
        <w:tc>
          <w:tcPr>
            <w:tcW w:w="1596"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780"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818" w:type="dxa"/>
            <w:tcBorders>
              <w:top w:val="single" w:color="000000" w:sz="6" w:space="0"/>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9.8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0420"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a 与基线值比较。</w:t>
            </w:r>
          </w:p>
        </w:tc>
      </w:tr>
    </w:tbl>
    <w:p>
      <w:pPr>
        <w:pStyle w:val="3"/>
        <w:jc w:val="cente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t>表</w:t>
      </w:r>
      <w:r>
        <w:rPr>
          <w:rFonts w:hint="eastAsia" w:ascii="Times New Roman" w:hAnsi="Times New Roman" w:cs="Times New Roman"/>
          <w:b/>
          <w:bCs/>
          <w:color w:val="000000" w:themeColor="text1"/>
          <w:kern w:val="2"/>
          <w:sz w:val="28"/>
          <w:szCs w:val="28"/>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2"/>
          <w:sz w:val="28"/>
          <w:szCs w:val="28"/>
          <w:lang w:val="en-US" w:eastAsia="zh-CN" w:bidi="ar-SA"/>
          <w14:textFill>
            <w14:solidFill>
              <w14:schemeClr w14:val="tx1"/>
            </w14:solidFill>
          </w14:textFill>
        </w:rPr>
        <w:t>：牙科 X 射线设备检测项目与技术要求</w:t>
      </w:r>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67"/>
        <w:gridCol w:w="1308"/>
        <w:gridCol w:w="1275"/>
        <w:gridCol w:w="1844"/>
        <w:gridCol w:w="1844"/>
        <w:gridCol w:w="2063"/>
        <w:gridCol w:w="997"/>
        <w:gridCol w:w="65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9" w:hRule="atLeast"/>
          <w:jc w:val="center"/>
        </w:trPr>
        <w:tc>
          <w:tcPr>
            <w:tcW w:w="567" w:type="dxa"/>
            <w:vMerge w:val="restart"/>
            <w:tcBorders>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号</w:t>
            </w:r>
          </w:p>
        </w:tc>
        <w:tc>
          <w:tcPr>
            <w:tcW w:w="1308"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检测项目</w:t>
            </w:r>
          </w:p>
        </w:tc>
        <w:tc>
          <w:tcPr>
            <w:tcW w:w="1275" w:type="dxa"/>
            <w:vMerge w:val="restart"/>
            <w:tcBorders>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设备类型</w:t>
            </w:r>
          </w:p>
        </w:tc>
        <w:tc>
          <w:tcPr>
            <w:tcW w:w="1844"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验收检测</w:t>
            </w:r>
          </w:p>
        </w:tc>
        <w:tc>
          <w:tcPr>
            <w:tcW w:w="1844"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状态检测</w:t>
            </w:r>
          </w:p>
        </w:tc>
        <w:tc>
          <w:tcPr>
            <w:tcW w:w="3060" w:type="dxa"/>
            <w:gridSpan w:val="2"/>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稳定性检测</w:t>
            </w:r>
          </w:p>
        </w:tc>
        <w:tc>
          <w:tcPr>
            <w:tcW w:w="658" w:type="dxa"/>
            <w:vMerge w:val="restart"/>
            <w:tcBorders>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条编号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 w:hRule="atLeast"/>
          <w:jc w:val="center"/>
        </w:trPr>
        <w:tc>
          <w:tcPr>
            <w:tcW w:w="567" w:type="dxa"/>
            <w:vMerge w:val="continue"/>
            <w:tcBorders>
              <w:top w:val="nil"/>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308"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275" w:type="dxa"/>
            <w:vMerge w:val="continue"/>
            <w:tcBorders>
              <w:top w:val="nil"/>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p>
        </w:tc>
        <w:tc>
          <w:tcPr>
            <w:tcW w:w="1844"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1844"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2063"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判定标准</w:t>
            </w:r>
          </w:p>
        </w:tc>
        <w:tc>
          <w:tcPr>
            <w:tcW w:w="997"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eastAsia="宋体" w:cs="Times New Roman"/>
                <w:b/>
                <w:bCs/>
                <w:sz w:val="21"/>
                <w:szCs w:val="21"/>
                <w:highlight w:val="none"/>
                <w:vertAlign w:val="baseline"/>
                <w:lang w:val="en-US" w:eastAsia="zh-CN"/>
              </w:rPr>
            </w:pPr>
            <w:r>
              <w:rPr>
                <w:rFonts w:hint="default" w:ascii="Times New Roman" w:hAnsi="Times New Roman" w:eastAsia="宋体" w:cs="Times New Roman"/>
                <w:b/>
                <w:bCs/>
                <w:sz w:val="21"/>
                <w:szCs w:val="21"/>
                <w:highlight w:val="none"/>
                <w:vertAlign w:val="baseline"/>
                <w:lang w:val="en-US" w:eastAsia="zh-CN"/>
              </w:rPr>
              <w:t>周期</w:t>
            </w:r>
          </w:p>
        </w:tc>
        <w:tc>
          <w:tcPr>
            <w:tcW w:w="658" w:type="dxa"/>
            <w:vMerge w:val="continue"/>
            <w:tcBorders>
              <w:top w:val="nil"/>
              <w:left w:val="single" w:color="000000" w:sz="6" w:space="0"/>
            </w:tcBorders>
            <w:vAlign w:val="center"/>
          </w:tcPr>
          <w:p>
            <w:pPr>
              <w:jc w:val="cente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567" w:type="dxa"/>
            <w:tcBorders>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w:t>
            </w:r>
          </w:p>
        </w:tc>
        <w:tc>
          <w:tcPr>
            <w:tcW w:w="1308"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管电压指示的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偏离</w:t>
            </w:r>
          </w:p>
        </w:tc>
        <w:tc>
          <w:tcPr>
            <w:tcW w:w="1275"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口内机，口外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机</w:t>
            </w:r>
          </w:p>
        </w:tc>
        <w:tc>
          <w:tcPr>
            <w:tcW w:w="1844"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1844"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2063"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±10.0%内</w:t>
            </w:r>
          </w:p>
        </w:tc>
        <w:tc>
          <w:tcPr>
            <w:tcW w:w="997" w:type="dxa"/>
            <w:tcBorders>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六个月</w:t>
            </w:r>
          </w:p>
        </w:tc>
        <w:tc>
          <w:tcPr>
            <w:tcW w:w="658" w:type="dxa"/>
            <w:tcBorders>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567"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w:t>
            </w:r>
          </w:p>
        </w:tc>
        <w:tc>
          <w:tcPr>
            <w:tcW w:w="13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辐射输出量重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复性</w:t>
            </w: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口内机</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w:t>
            </w:r>
          </w:p>
        </w:tc>
        <w:tc>
          <w:tcPr>
            <w:tcW w:w="20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w:t>
            </w:r>
          </w:p>
        </w:tc>
        <w:tc>
          <w:tcPr>
            <w:tcW w:w="9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65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jc w:val="center"/>
        </w:trPr>
        <w:tc>
          <w:tcPr>
            <w:tcW w:w="567" w:type="dxa"/>
            <w:vMerge w:val="restart"/>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3</w:t>
            </w:r>
          </w:p>
        </w:tc>
        <w:tc>
          <w:tcPr>
            <w:tcW w:w="1308"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曝光时间指示的偏离</w:t>
            </w: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口内机</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±5.0%内或±20 ms，以较大者控制</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±5.0%内或±20 ms，以较大者控制</w:t>
            </w:r>
          </w:p>
        </w:tc>
        <w:tc>
          <w:tcPr>
            <w:tcW w:w="20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±5.0%内或±20 ms，以较大者控制</w:t>
            </w:r>
          </w:p>
        </w:tc>
        <w:tc>
          <w:tcPr>
            <w:tcW w:w="9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658" w:type="dxa"/>
            <w:vMerge w:val="restart"/>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jc w:val="center"/>
        </w:trPr>
        <w:tc>
          <w:tcPr>
            <w:tcW w:w="567" w:type="dxa"/>
            <w:vMerge w:val="continue"/>
            <w:tcBorders>
              <w:top w:val="nil"/>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c>
          <w:tcPr>
            <w:tcW w:w="1308" w:type="dxa"/>
            <w:vMerge w:val="continue"/>
            <w:tcBorders>
              <w:top w:val="nil"/>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口外机</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±(5%+50 ms) 内</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±(5%+50 ms) 内</w:t>
            </w:r>
          </w:p>
        </w:tc>
        <w:tc>
          <w:tcPr>
            <w:tcW w:w="20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±(5%+50 ms) 内</w:t>
            </w:r>
          </w:p>
        </w:tc>
        <w:tc>
          <w:tcPr>
            <w:tcW w:w="9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三个月</w:t>
            </w:r>
          </w:p>
        </w:tc>
        <w:tc>
          <w:tcPr>
            <w:tcW w:w="658" w:type="dxa"/>
            <w:vMerge w:val="continue"/>
            <w:tcBorders>
              <w:top w:val="nil"/>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567"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4</w:t>
            </w:r>
          </w:p>
        </w:tc>
        <w:tc>
          <w:tcPr>
            <w:tcW w:w="13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有用线束半值层</w:t>
            </w: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口内机，口外机</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不低于表 E.2 规定值</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不低于表 E.2 规定值</w:t>
            </w:r>
          </w:p>
        </w:tc>
        <w:tc>
          <w:tcPr>
            <w:tcW w:w="20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9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w:t>
            </w:r>
          </w:p>
        </w:tc>
        <w:tc>
          <w:tcPr>
            <w:tcW w:w="65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jc w:val="center"/>
        </w:trPr>
        <w:tc>
          <w:tcPr>
            <w:tcW w:w="567" w:type="dxa"/>
            <w:tcBorders>
              <w:top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5</w:t>
            </w:r>
          </w:p>
        </w:tc>
        <w:tc>
          <w:tcPr>
            <w:tcW w:w="130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高对比度分辨力</w:t>
            </w: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数字成像设备</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 lp/mm</w:t>
            </w:r>
          </w:p>
        </w:tc>
        <w:tc>
          <w:tcPr>
            <w:tcW w:w="184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 lp/mm</w:t>
            </w:r>
          </w:p>
        </w:tc>
        <w:tc>
          <w:tcPr>
            <w:tcW w:w="20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≥2.0 lp/mm</w:t>
            </w:r>
          </w:p>
        </w:tc>
        <w:tc>
          <w:tcPr>
            <w:tcW w:w="9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六个月</w:t>
            </w:r>
          </w:p>
        </w:tc>
        <w:tc>
          <w:tcPr>
            <w:tcW w:w="658" w:type="dxa"/>
            <w:tcBorders>
              <w:top w:val="single" w:color="000000" w:sz="6" w:space="0"/>
              <w:left w:val="single" w:color="000000" w:sz="6" w:space="0"/>
              <w:bottom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7" w:hRule="atLeast"/>
          <w:jc w:val="center"/>
        </w:trPr>
        <w:tc>
          <w:tcPr>
            <w:tcW w:w="567" w:type="dxa"/>
            <w:tcBorders>
              <w:top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6</w:t>
            </w:r>
          </w:p>
        </w:tc>
        <w:tc>
          <w:tcPr>
            <w:tcW w:w="1308"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低对比度分辨力</w:t>
            </w:r>
          </w:p>
        </w:tc>
        <w:tc>
          <w:tcPr>
            <w:tcW w:w="1275"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数字成像设备</w:t>
            </w:r>
          </w:p>
        </w:tc>
        <w:tc>
          <w:tcPr>
            <w:tcW w:w="1844"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可分辨0.5 mm 厚铝板上 1 mm 直径孔</w:t>
            </w:r>
          </w:p>
        </w:tc>
        <w:tc>
          <w:tcPr>
            <w:tcW w:w="1844"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可分辨0.5 mm 厚铝板上 1 mm 直径孔</w:t>
            </w:r>
          </w:p>
        </w:tc>
        <w:tc>
          <w:tcPr>
            <w:tcW w:w="2063"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可分辨 0.5 mm 厚铝板上1 mm 直径孔</w:t>
            </w:r>
          </w:p>
        </w:tc>
        <w:tc>
          <w:tcPr>
            <w:tcW w:w="997"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六个月</w:t>
            </w:r>
          </w:p>
        </w:tc>
        <w:tc>
          <w:tcPr>
            <w:tcW w:w="658" w:type="dxa"/>
            <w:tcBorders>
              <w:top w:val="single" w:color="000000" w:sz="6" w:space="0"/>
              <w:lef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11.6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0556" w:type="dxa"/>
            <w:gridSpan w:val="8"/>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Times New Roman" w:hAnsi="Times New Roman" w:cs="Times New Roman"/>
                <w:b w:val="0"/>
                <w:bCs w:val="0"/>
                <w:sz w:val="18"/>
                <w:szCs w:val="18"/>
                <w:highlight w:val="none"/>
                <w:vertAlign w:val="baseline"/>
                <w:lang w:val="en-US" w:eastAsia="zh-CN"/>
              </w:rPr>
            </w:pPr>
            <w:r>
              <w:rPr>
                <w:rFonts w:hint="eastAsia" w:ascii="Times New Roman" w:hAnsi="Times New Roman" w:cs="Times New Roman"/>
                <w:b w:val="0"/>
                <w:bCs w:val="0"/>
                <w:sz w:val="18"/>
                <w:szCs w:val="18"/>
                <w:highlight w:val="none"/>
                <w:vertAlign w:val="baseline"/>
                <w:lang w:val="en-US" w:eastAsia="zh-CN"/>
              </w:rPr>
              <w:t>注：对于含头颅摄影功能的多合一设备，需分别检测全景扫描时和头颅摄影时的高对比度分辨力和低对比度分辨力。</w:t>
            </w:r>
          </w:p>
        </w:tc>
      </w:tr>
    </w:tbl>
    <w:p>
      <w:pPr>
        <w:rPr>
          <w:rFonts w:hint="default" w:ascii="Times New Roman" w:hAnsi="Times New Roman" w:eastAsia="宋体" w:cs="Times New Roman"/>
          <w:sz w:val="30"/>
          <w:szCs w:val="30"/>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2290E"/>
    <w:multiLevelType w:val="singleLevel"/>
    <w:tmpl w:val="90D2290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MTViYTkxNzI2MDhmODJiOTk3ZGUwNGYwNDMxNWMifQ=="/>
  </w:docVars>
  <w:rsids>
    <w:rsidRoot w:val="00000000"/>
    <w:rsid w:val="22770AAA"/>
    <w:rsid w:val="3F681249"/>
    <w:rsid w:val="4326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4"/>
      <w:lang w:val="en-US" w:eastAsia="zh-CN" w:bidi="ar"/>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2024-04-10T02:17:00Z</dcterms:created>
  <dc:creator>Administrator</dc:creator>
  <cp:lastModifiedBy>Administrator</cp:lastModifiedBy>
  <dcterms:modified xsi:type="dcterms:W3CDTF">2024-04-19T08:04:06Z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D4986AAA5AC54A2CB4E9CA9E6BC58809_12</vt:lpwstr>
  </property>
</Properties>
</file>